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7B0" w:rsidRPr="00787BF1" w:rsidRDefault="00D017B0" w:rsidP="00D017B0">
      <w:pPr>
        <w:pStyle w:val="Heading2"/>
      </w:pPr>
      <w:bookmarkStart w:id="0" w:name="_Toc155342745"/>
      <w:bookmarkStart w:id="1" w:name="_GoBack"/>
      <w:r w:rsidRPr="00787BF1">
        <w:rPr>
          <w:b/>
          <w:sz w:val="24"/>
        </w:rPr>
        <w:t>67. CHỨC NĂNG PHÁP LUẬT</w:t>
      </w:r>
      <w:bookmarkEnd w:id="1"/>
      <w:r w:rsidRPr="00787BF1">
        <w:rPr>
          <w:bCs/>
        </w:rPr>
        <w:t>,</w:t>
      </w:r>
      <w:r w:rsidRPr="00787BF1">
        <w:rPr>
          <w:b/>
          <w:bCs/>
        </w:rPr>
        <w:t xml:space="preserve"> </w:t>
      </w:r>
      <w:r w:rsidRPr="00787BF1">
        <w:t>các định hướng tác động cơ bản của pháp luật đến các quan hệ xã hội, thể hiện bản chất, sứ mệnh xã hội của pháp luật nhằm mục tiêu điều chỉnh các quan hệ đó.</w:t>
      </w:r>
      <w:bookmarkEnd w:id="0"/>
      <w:r w:rsidRPr="00787BF1">
        <w:t> </w:t>
      </w:r>
    </w:p>
    <w:p w:rsidR="00D017B0" w:rsidRPr="00787BF1" w:rsidRDefault="00D017B0" w:rsidP="00D017B0">
      <w:pPr>
        <w:widowControl w:val="0"/>
        <w:spacing w:before="120"/>
        <w:ind w:firstLine="284"/>
        <w:jc w:val="both"/>
        <w:rPr>
          <w:szCs w:val="28"/>
        </w:rPr>
      </w:pPr>
      <w:r w:rsidRPr="00787BF1">
        <w:rPr>
          <w:szCs w:val="28"/>
        </w:rPr>
        <w:t>CNPL là sự thống nhất của hai yếu tố: sứ mệnh xã hội của pháp luật và những định hướng tác động cơ bản của pháp luật đến các quan hệ xã hội. Trong hai yếu tố đó, yếu tố bản chất, sứ mệnh xã hội của pháp luật đóng vai trò chi phối, quyết định. Sứ mệnh xã hội của pháp luật được hình thành, được tiến triển từ các nhu cầu phát triển xã hội, quyết định trước mục tiêu, nhiệm vụ, nội dung, khách thể, độ dài thực hiện CNPL. Quá trình thực hiện các CNPL là quá trình thể hiện sứ mệnh xã hội của pháp luật trong cuộc sống xã hội.</w:t>
      </w:r>
    </w:p>
    <w:p w:rsidR="00D017B0" w:rsidRPr="00787BF1" w:rsidRDefault="00D017B0" w:rsidP="00D017B0">
      <w:pPr>
        <w:widowControl w:val="0"/>
        <w:spacing w:before="120"/>
        <w:ind w:firstLine="284"/>
        <w:jc w:val="both"/>
        <w:rPr>
          <w:szCs w:val="28"/>
        </w:rPr>
      </w:pPr>
      <w:r w:rsidRPr="00787BF1">
        <w:rPr>
          <w:szCs w:val="28"/>
        </w:rPr>
        <w:t>CNPL thể hiện các thuộc tính nội tại, đặc trưng của pháp luật sau đây: 1) CNPL bắt nguồn từ bản chất của pháp luật, là “sự phát sáng” bản chất pháp luật trong các quan hệ xã hội và do sứ mệnh xã hội của pháp luật quy định; 2) CNPL là định hướng tác động tích cực của pháp luật đến các quan hệ xã hội, điều chỉnh các loại quan hệ xã hội nhất định; 3) CNPL là định hướng tác động tất yếu, cần thiết của pháp luật đến các quan hệ xã hội, đảm bảo cho xã hội tồn tại và phát triển trong các giai đoạn nhất định; 4) CNPL thể hiện những đặc điểm cơ bản nhất của pháp luật và hướng đến việc thực hiện các nhiệm vụ cơ bản được đặt ra đối với pháp luật trong mỗi giai đoạn phát triển nhât định; 5) CNPL có tính bất biến, được đặc trưng bởi tính ổn định, tính liên tục, độ dài hoạt động của nó.</w:t>
      </w:r>
    </w:p>
    <w:p w:rsidR="00D017B0" w:rsidRPr="00787BF1" w:rsidRDefault="00D017B0" w:rsidP="00D017B0">
      <w:pPr>
        <w:widowControl w:val="0"/>
        <w:spacing w:before="120"/>
        <w:ind w:firstLine="284"/>
        <w:jc w:val="both"/>
        <w:rPr>
          <w:szCs w:val="28"/>
        </w:rPr>
      </w:pPr>
      <w:r w:rsidRPr="00787BF1">
        <w:rPr>
          <w:szCs w:val="28"/>
        </w:rPr>
        <w:t>Định hướng tác động là hợp phần chính yếu nhất trong CNPL, là sự hồi đáp của pháp luật đối với các nhu cầu của phát triển xã hội, là kết quả của chính sách pháp luật trước các nhu cầu đó và chuyển tải các nhu cầu đó thành pháp luật thực chứng. Các đường hướng, các hình thức, các phương thức tác động của pháp luật rất đa dạng, phong phú. Đó là việc thực hiện các nguyên tắc, các điều cấm, các quy định và các quy phạm pháp luật trong đời sống xã hội, trong hoạt động của nhà nước, của các cơ quan nhà nước, các tổ chức và công dân. Tác động của pháp luật gồm tác động quy phạm và tác động tâm lý, tác động tư tưởng của pháp luật đến các cảm giác, ý thức và các hành vi của mọi người. Các hình thức tác động của pháp luật là tác động thông tin, tác động định hướng giá trị và các hình thức khác. Điều chỉnh pháp luật là một trong những hình thức tác động của pháp luật.</w:t>
      </w:r>
    </w:p>
    <w:p w:rsidR="00D017B0" w:rsidRPr="00787BF1" w:rsidRDefault="00D017B0" w:rsidP="00D017B0">
      <w:pPr>
        <w:widowControl w:val="0"/>
        <w:spacing w:before="120"/>
        <w:ind w:firstLine="284"/>
        <w:jc w:val="both"/>
        <w:rPr>
          <w:szCs w:val="28"/>
        </w:rPr>
      </w:pPr>
      <w:r w:rsidRPr="00787BF1">
        <w:rPr>
          <w:szCs w:val="28"/>
        </w:rPr>
        <w:t xml:space="preserve"> CNPL gắn liền với vai trò của pháp luật, nhiệm vụ của pháp luật và hoạt động của pháp luật. Vai trò của pháp luật là khái niệm chung hơn trong quan hệ với khái niệm CNPL. Vai trò của pháp luật phản ánh ý nghĩa của pháp luật trong đời sống xã hội, đời sống nhà nước nói chung hoặc trong một giai đoạn phát triển nhất định. Nhiệm vụ của pháp luật thể hiện những vấn đề xã hội được đặt ra mà pháp luật cần phải giải quyết. Một nhiệm vụ của nhà nước có thể được giải quyết bằng một số CNPL, đồng thời mỗi CNPL có thể tham gia giải quyết một số nhiệm vụ được đặt ra đối với xã hội. Hoạt động của pháp luật nói lên sự vận động của pháp luật trong hệ thống xã hội thông qua các con đường và các hình thức tác động của nó đến các quan hệ xã hội. Hoạt động của pháp luật phản ánh sự vận động của pháp luật trong hiện tại trong khi đó CNPL không chỉ phản ánh cái hiện tại mà còn cả cái tương lai. </w:t>
      </w:r>
    </w:p>
    <w:p w:rsidR="00D017B0" w:rsidRPr="00787BF1" w:rsidRDefault="00D017B0" w:rsidP="00D017B0">
      <w:pPr>
        <w:widowControl w:val="0"/>
        <w:spacing w:before="120"/>
        <w:ind w:firstLine="284"/>
        <w:jc w:val="both"/>
        <w:rPr>
          <w:szCs w:val="28"/>
        </w:rPr>
      </w:pPr>
      <w:r w:rsidRPr="00787BF1">
        <w:rPr>
          <w:szCs w:val="28"/>
        </w:rPr>
        <w:lastRenderedPageBreak/>
        <w:t xml:space="preserve">CNPL gồm nhiều loại đa dạng, phong phú, gắn liền chặt chẽ với nhau, tạo thành một hệ thống với cơ cấu phức tạp, nhiều mức độ. Mỗi CNPL là một hướng tác động cơ bản của pháp luật, hệ thống các CNPL là sự tác động tổng thể của pháp luật nói chung. Hệ thống các CNPL gắn liền trực tiếp với hệ thống pháp luật. </w:t>
      </w:r>
    </w:p>
    <w:p w:rsidR="00D017B0" w:rsidRPr="00787BF1" w:rsidRDefault="00D017B0" w:rsidP="00D017B0">
      <w:pPr>
        <w:widowControl w:val="0"/>
        <w:spacing w:before="120"/>
        <w:ind w:firstLine="284"/>
        <w:jc w:val="both"/>
        <w:rPr>
          <w:szCs w:val="28"/>
        </w:rPr>
      </w:pPr>
      <w:r w:rsidRPr="00787BF1">
        <w:rPr>
          <w:szCs w:val="28"/>
        </w:rPr>
        <w:t>Căn cứ vào các yếu tố cấu thành hệ thống pháp luật, CNPL được chia thành: các CNPL chung (vốn có của tất cả các ngành pháp luật); các CNPL liên ngành (vốn có của hai hoặc nhiều hơn, nhưng không phải vốn có của tất cả các ngành pháp luật); các CNPL ngành (vốn có của một ngành pháp luật); các chức năng của các chế định pháp luật (vốn có của một chế định pháp luật cụ thể); các chức năng của các quy phạm pháp luật (vốn có của một loại quy phạm pháp luật cụ thể).</w:t>
      </w:r>
    </w:p>
    <w:p w:rsidR="00D017B0" w:rsidRPr="00787BF1" w:rsidRDefault="00D017B0" w:rsidP="00D017B0">
      <w:pPr>
        <w:widowControl w:val="0"/>
        <w:spacing w:before="120"/>
        <w:ind w:firstLine="284"/>
        <w:jc w:val="both"/>
        <w:rPr>
          <w:szCs w:val="28"/>
        </w:rPr>
      </w:pPr>
      <w:r w:rsidRPr="00787BF1">
        <w:rPr>
          <w:szCs w:val="28"/>
        </w:rPr>
        <w:t>Căn cứ vào phương thức tác động của chính pháp luật đối với các quan hệ xã hội, CNPL được xác định là CNPL nội tại, cơ bản, riêng có của pháp luật, bao gồm: chức năng điều chỉnh và chức năng bảo vệ. Các chức năng đó đặc trưng cho pháp luật với tư cách là cơ cấu độc lập đặc trưng về chất.</w:t>
      </w:r>
    </w:p>
    <w:p w:rsidR="00D017B0" w:rsidRPr="00787BF1" w:rsidRDefault="00D017B0" w:rsidP="00D017B0">
      <w:pPr>
        <w:widowControl w:val="0"/>
        <w:spacing w:before="120"/>
        <w:ind w:firstLine="284"/>
        <w:jc w:val="both"/>
        <w:rPr>
          <w:szCs w:val="28"/>
        </w:rPr>
      </w:pPr>
      <w:r w:rsidRPr="00787BF1">
        <w:rPr>
          <w:szCs w:val="28"/>
        </w:rPr>
        <w:t xml:space="preserve">Chức năng điều chỉnh của pháp luật là định hướng tác động của pháp luật được quyết định bởi sứ mệnh xã hội của pháp luật, thể hiện ở việc xác định các quy tắc của hành vi tích cực, trao các quyền chủ thể và giao các nghĩa vụ pháp lý đối với các chủ thể pháp luật. Chức năng điều chỉnh của pháp luật gồm hai tiểu chức năng: điều chỉnh tĩnh và điều chỉnh động. Chức năng điều chỉnh tĩnh thể hiện ở sự tác động của pháp luật đến các quan hệ xã hội bằng cách ghi nhận các quan hệ xã hội trong các chế định pháp luật này hay các chế định pháp luật khác. Pháp luật, trước hết, ghi nhận về mặt pháp lý, đưa các quan hệ xã hội là nền tảng tồn tại bình thường, ổn định của xã hội, phù hợp với các lợi ích của phần lớn xã hội hoặc của các lực lượng nắm giữ quyền lực vào nhóm các quan hệ đã được điều chỉnh. Chức năng điều chỉnh động thể hiện ở sự tác động của pháp luật đến các quan hệ xã hội bằng cách hình thành sự vận động của các quan hệ đó. Nó thể hiện, ví dụ, trong các chế định của pháp luật dân sự, pháp luật hành chính, pháp luật lao động trung chuyển các quá trình vào kinh tế và các lĩnh vực khác của đời sống xã hội. Chức năng điều chỉnh của pháp luật được thực hiện bằng các phương thức đặc trưng như: 1) </w:t>
      </w:r>
      <w:r>
        <w:rPr>
          <w:szCs w:val="28"/>
        </w:rPr>
        <w:t>X</w:t>
      </w:r>
      <w:r w:rsidRPr="00787BF1">
        <w:rPr>
          <w:szCs w:val="28"/>
        </w:rPr>
        <w:t xml:space="preserve">ác định bằng các quy phạm pháp luật năng lực hành vi pháp luật (quyền chủ thể) của công dân; 2) </w:t>
      </w:r>
      <w:r>
        <w:rPr>
          <w:szCs w:val="28"/>
        </w:rPr>
        <w:t>G</w:t>
      </w:r>
      <w:r w:rsidRPr="00787BF1">
        <w:rPr>
          <w:szCs w:val="28"/>
        </w:rPr>
        <w:t xml:space="preserve">hi nhận và thay đổi quy chế pháp lý của công dân; 3) </w:t>
      </w:r>
      <w:r>
        <w:rPr>
          <w:szCs w:val="28"/>
        </w:rPr>
        <w:t>X</w:t>
      </w:r>
      <w:r w:rsidRPr="00787BF1">
        <w:rPr>
          <w:szCs w:val="28"/>
        </w:rPr>
        <w:t xml:space="preserve">ác định thẩm quyền của các cơ quan nhà nước, trong đó có thẩm quyền của của những người có chức vụ, quyền hạn; 4) </w:t>
      </w:r>
      <w:r>
        <w:rPr>
          <w:szCs w:val="28"/>
        </w:rPr>
        <w:t>X</w:t>
      </w:r>
      <w:r w:rsidRPr="00787BF1">
        <w:rPr>
          <w:szCs w:val="28"/>
        </w:rPr>
        <w:t xml:space="preserve">ác lập cơ sở pháp luật cho hoạt động của các tổ chức phi nhà nước; 5) </w:t>
      </w:r>
      <w:r>
        <w:rPr>
          <w:szCs w:val="28"/>
        </w:rPr>
        <w:t>Q</w:t>
      </w:r>
      <w:r w:rsidRPr="00787BF1">
        <w:rPr>
          <w:szCs w:val="28"/>
        </w:rPr>
        <w:t xml:space="preserve">uy định quy chế pháp lý của pháp nhân; 6) </w:t>
      </w:r>
      <w:r>
        <w:rPr>
          <w:szCs w:val="28"/>
        </w:rPr>
        <w:t>X</w:t>
      </w:r>
      <w:r w:rsidRPr="00787BF1">
        <w:rPr>
          <w:szCs w:val="28"/>
        </w:rPr>
        <w:t xml:space="preserve">ác định các sự kiện pháp lý làm xuất hiện, thay đổi và chấm dứt các quan hệ pháp luật; 7) </w:t>
      </w:r>
      <w:r>
        <w:rPr>
          <w:szCs w:val="28"/>
        </w:rPr>
        <w:t>Q</w:t>
      </w:r>
      <w:r w:rsidRPr="00787BF1">
        <w:rPr>
          <w:szCs w:val="28"/>
        </w:rPr>
        <w:t xml:space="preserve">uy định mối liên hệ pháp luật cụ thể giữa các chủ thể pháp luật (quan hệ pháp luật điều chỉnh); 8) </w:t>
      </w:r>
      <w:r>
        <w:rPr>
          <w:szCs w:val="28"/>
        </w:rPr>
        <w:t>X</w:t>
      </w:r>
      <w:r w:rsidRPr="00787BF1">
        <w:rPr>
          <w:szCs w:val="28"/>
        </w:rPr>
        <w:t>ác định kiểu điều chỉnh pháp luật tối ưu (cho phép chung) đối với các quan hệ pháp luật cụ thể.</w:t>
      </w:r>
    </w:p>
    <w:p w:rsidR="00D017B0" w:rsidRPr="00787BF1" w:rsidRDefault="00D017B0" w:rsidP="00D017B0">
      <w:pPr>
        <w:widowControl w:val="0"/>
        <w:spacing w:before="120"/>
        <w:ind w:firstLine="284"/>
        <w:jc w:val="both"/>
        <w:rPr>
          <w:szCs w:val="28"/>
        </w:rPr>
      </w:pPr>
      <w:r w:rsidRPr="00787BF1">
        <w:rPr>
          <w:szCs w:val="28"/>
        </w:rPr>
        <w:t xml:space="preserve">Chức năng bảo vệ của pháp luật là định hướng tác động của pháp luật được quyết định bởi sứ mệnh xã hội của pháp luật nhằm bảo vệ các quan hệ có ý nghĩa chung, các quan hệ kinh tế, chính trị, dân tộc, cá nhân quan trọng nhất, loại trừ các quan hệ xã hội tiêu cực trong xã hội. Pháp luật, từ thời điểm xuất hiện, đã trở thành một trong những phương tiện quan trọng nhất để bảo vệ các quan hệ xã hội. </w:t>
      </w:r>
      <w:r w:rsidRPr="00787BF1">
        <w:rPr>
          <w:szCs w:val="28"/>
        </w:rPr>
        <w:lastRenderedPageBreak/>
        <w:t>Chức năng bảo vệ pháp luật là sự phản ứng lại tính vi phạm pháp luật trong xã hội. Chức năng bảo vệ của pháp luật gắn liền với hoạt động bảo vệ pháp luật của nhà nước, bảo đảm để các chủ thể pháp luật thực hiện thường xuyên các đòi hỏi của pháp luật. Điều đó đạt được bằng cách làm sáng tỏ các vi phạm pháp luật, thẩm định, truy cứu trách nhiệm đối với người vi phạm pháp luật, bảo vệ các quyền của công dân. Chức năng bảo vệ có các đặc điểm sau:</w:t>
      </w:r>
      <w:r>
        <w:rPr>
          <w:szCs w:val="28"/>
        </w:rPr>
        <w:t xml:space="preserve"> </w:t>
      </w:r>
      <w:r w:rsidRPr="00787BF1">
        <w:rPr>
          <w:szCs w:val="28"/>
        </w:rPr>
        <w:t xml:space="preserve">1) </w:t>
      </w:r>
      <w:r>
        <w:rPr>
          <w:szCs w:val="28"/>
        </w:rPr>
        <w:t>L</w:t>
      </w:r>
      <w:r w:rsidRPr="00787BF1">
        <w:rPr>
          <w:szCs w:val="28"/>
        </w:rPr>
        <w:t xml:space="preserve">à phương thức tác động đặc biệt đến hành vi của con người, thể hiện ở việc tác động đến ý chí của con người bằng việc quy định các điều cấm, bằng việc đe doạ áp dụng chế tài và bằng việc thực hiện trách nhiệm pháp lý; 2) </w:t>
      </w:r>
      <w:r>
        <w:rPr>
          <w:szCs w:val="28"/>
        </w:rPr>
        <w:t>L</w:t>
      </w:r>
      <w:r w:rsidRPr="00787BF1">
        <w:rPr>
          <w:szCs w:val="28"/>
        </w:rPr>
        <w:t xml:space="preserve">à người đưa thông tin cho các chủ thể của pháp luật về các giá trị xã hội nào được nhà nước bảo vệ bằng các quy định của pháp luật; 3) </w:t>
      </w:r>
      <w:r>
        <w:rPr>
          <w:szCs w:val="28"/>
        </w:rPr>
        <w:t>L</w:t>
      </w:r>
      <w:r w:rsidRPr="00787BF1">
        <w:rPr>
          <w:szCs w:val="28"/>
        </w:rPr>
        <w:t>à chỉ số về trình độ chính trị và văn hoá của xã hội, về các cơ sở nhân đạo được thể hiện trong pháp luật. Chức năng bảo vệ đặc trưng cho mọi ngành pháp luật, bởi vì, chế tài cần phải có trong từng quy phạm pháp luật (trừ quy phạm – nguyên tắc, quy phạm – định nghĩa, quy phạm – khuyến nghị). Các hình thức thực hiện chức năng bảo vệ của pháp luật là: quy định các điều cấm thực hiện các hành vi xâm phạm các lợi ích của cá nhân, xã hội và nhà nước, quy định chế tài đối với các hành vi vi phạm pháp luật, xác định các loại tội phạm và các loại vi phạm pháp luật khác, xác định các quan hệ pháp luật bảo vệ, quy định trách nhiệm pháp lý, quy định các biện pháp bảo vệ. </w:t>
      </w:r>
    </w:p>
    <w:p w:rsidR="00D017B0" w:rsidRPr="00787BF1" w:rsidRDefault="00D017B0" w:rsidP="00D017B0">
      <w:pPr>
        <w:widowControl w:val="0"/>
        <w:spacing w:before="120"/>
        <w:ind w:firstLine="284"/>
        <w:jc w:val="both"/>
        <w:rPr>
          <w:szCs w:val="28"/>
        </w:rPr>
      </w:pPr>
      <w:r w:rsidRPr="00787BF1">
        <w:rPr>
          <w:szCs w:val="28"/>
        </w:rPr>
        <w:t xml:space="preserve"> Ngoài các chức năng pháp lý cơ bản nêu trên, các chức năng pháp lý không cơ bản của pháp luật bao gồm: chức năng bồi thường, chức năng phục hồi, chức năng hạn chế.</w:t>
      </w:r>
    </w:p>
    <w:p w:rsidR="00D017B0" w:rsidRPr="00787BF1" w:rsidRDefault="00D017B0" w:rsidP="00D017B0">
      <w:pPr>
        <w:widowControl w:val="0"/>
        <w:spacing w:before="120"/>
        <w:ind w:firstLine="284"/>
        <w:jc w:val="both"/>
        <w:rPr>
          <w:szCs w:val="28"/>
        </w:rPr>
      </w:pPr>
      <w:r w:rsidRPr="00787BF1">
        <w:rPr>
          <w:szCs w:val="28"/>
        </w:rPr>
        <w:t xml:space="preserve"> Pháp luật còn thực hiện các chức năng xã hội. Đó là: chức năng kinh tế, chức năng chính trị, chức năng tư tưởng, chức năng giáo dục, chức năng thông tin, chức năng giao tiếp, chức năng liên kết, thống nhất hoá, các chức năng xã hội khác.</w:t>
      </w:r>
    </w:p>
    <w:p w:rsidR="00D017B0" w:rsidRPr="00787BF1" w:rsidRDefault="00D017B0" w:rsidP="00D017B0">
      <w:pPr>
        <w:spacing w:before="120"/>
        <w:ind w:firstLine="284"/>
        <w:jc w:val="right"/>
        <w:rPr>
          <w:sz w:val="22"/>
        </w:rPr>
      </w:pPr>
      <w:r w:rsidRPr="00787BF1">
        <w:rPr>
          <w:szCs w:val="28"/>
        </w:rPr>
        <w:t xml:space="preserve"> </w:t>
      </w:r>
      <w:r w:rsidRPr="00787BF1">
        <w:rPr>
          <w:b/>
          <w:bCs/>
          <w:sz w:val="22"/>
        </w:rPr>
        <w:t>VÕ KHÁNH VINH</w:t>
      </w:r>
    </w:p>
    <w:p w:rsidR="00D017B0" w:rsidRPr="00787BF1" w:rsidRDefault="00D017B0" w:rsidP="00D017B0">
      <w:pPr>
        <w:spacing w:before="120"/>
        <w:ind w:firstLine="284"/>
        <w:rPr>
          <w:b/>
          <w:bCs/>
          <w:sz w:val="24"/>
          <w:szCs w:val="24"/>
        </w:rPr>
      </w:pPr>
      <w:r w:rsidRPr="00787BF1">
        <w:rPr>
          <w:b/>
          <w:bCs/>
          <w:sz w:val="24"/>
          <w:szCs w:val="24"/>
        </w:rPr>
        <w:t>Tài liệu tham khảo:</w:t>
      </w:r>
    </w:p>
    <w:p w:rsidR="00D017B0" w:rsidRPr="00787BF1" w:rsidRDefault="00D017B0" w:rsidP="00D017B0">
      <w:pPr>
        <w:numPr>
          <w:ilvl w:val="0"/>
          <w:numId w:val="1"/>
        </w:numPr>
        <w:tabs>
          <w:tab w:val="clear" w:pos="720"/>
          <w:tab w:val="left" w:pos="567"/>
        </w:tabs>
        <w:spacing w:before="120"/>
        <w:ind w:left="0" w:firstLine="284"/>
        <w:jc w:val="both"/>
        <w:textAlignment w:val="baseline"/>
        <w:rPr>
          <w:sz w:val="24"/>
          <w:szCs w:val="24"/>
        </w:rPr>
      </w:pPr>
      <w:r w:rsidRPr="00787BF1">
        <w:rPr>
          <w:sz w:val="24"/>
          <w:szCs w:val="24"/>
        </w:rPr>
        <w:t>Nguyễn Văn Động</w:t>
      </w:r>
      <w:r w:rsidRPr="00787BF1">
        <w:rPr>
          <w:i/>
          <w:sz w:val="24"/>
          <w:szCs w:val="24"/>
        </w:rPr>
        <w:t>, Giáo trình Lý luận chung về nhà nước và pháp luật (dành cho đào tạo đại học, sau đại học và trên đại học ngành luật)</w:t>
      </w:r>
      <w:r w:rsidRPr="00787BF1">
        <w:rPr>
          <w:sz w:val="24"/>
          <w:szCs w:val="24"/>
        </w:rPr>
        <w:t>, Nxb. Chính trị quốc gia Sự thật, Hà Nội, 2017.</w:t>
      </w:r>
    </w:p>
    <w:p w:rsidR="00D017B0" w:rsidRPr="00787BF1" w:rsidRDefault="00D017B0" w:rsidP="00D017B0">
      <w:pPr>
        <w:numPr>
          <w:ilvl w:val="0"/>
          <w:numId w:val="1"/>
        </w:numPr>
        <w:tabs>
          <w:tab w:val="clear" w:pos="720"/>
          <w:tab w:val="left" w:pos="567"/>
        </w:tabs>
        <w:spacing w:before="120"/>
        <w:ind w:left="0" w:firstLine="284"/>
        <w:jc w:val="both"/>
        <w:textAlignment w:val="baseline"/>
        <w:rPr>
          <w:sz w:val="24"/>
          <w:szCs w:val="24"/>
        </w:rPr>
      </w:pPr>
      <w:r>
        <w:rPr>
          <w:sz w:val="24"/>
          <w:szCs w:val="24"/>
        </w:rPr>
        <w:t>Đại học Huế, Võ Khánh Vinh (chủ biên)</w:t>
      </w:r>
      <w:r w:rsidRPr="00787BF1">
        <w:rPr>
          <w:sz w:val="24"/>
          <w:szCs w:val="24"/>
        </w:rPr>
        <w:t xml:space="preserve">, </w:t>
      </w:r>
      <w:r w:rsidRPr="00787BF1">
        <w:rPr>
          <w:i/>
          <w:sz w:val="24"/>
          <w:szCs w:val="24"/>
        </w:rPr>
        <w:t>Giáo trình Lý luận chung về nhà nước và pháp luật</w:t>
      </w:r>
      <w:r w:rsidRPr="00787BF1">
        <w:rPr>
          <w:sz w:val="24"/>
          <w:szCs w:val="24"/>
        </w:rPr>
        <w:t xml:space="preserve">, </w:t>
      </w:r>
      <w:r>
        <w:rPr>
          <w:sz w:val="24"/>
          <w:szCs w:val="24"/>
        </w:rPr>
        <w:t>Nxb. Công an nhân dân</w:t>
      </w:r>
      <w:r w:rsidRPr="00787BF1">
        <w:rPr>
          <w:sz w:val="24"/>
          <w:szCs w:val="24"/>
        </w:rPr>
        <w:t>, Hà Nội, 2016.</w:t>
      </w:r>
    </w:p>
    <w:p w:rsidR="00D017B0" w:rsidRPr="00787BF1" w:rsidRDefault="00D017B0" w:rsidP="00D017B0">
      <w:pPr>
        <w:numPr>
          <w:ilvl w:val="0"/>
          <w:numId w:val="1"/>
        </w:numPr>
        <w:tabs>
          <w:tab w:val="clear" w:pos="720"/>
          <w:tab w:val="left" w:pos="567"/>
        </w:tabs>
        <w:spacing w:before="120"/>
        <w:ind w:left="0" w:firstLine="284"/>
        <w:jc w:val="both"/>
        <w:textAlignment w:val="baseline"/>
        <w:rPr>
          <w:sz w:val="24"/>
          <w:szCs w:val="24"/>
        </w:rPr>
      </w:pPr>
      <w:r>
        <w:rPr>
          <w:sz w:val="24"/>
          <w:szCs w:val="24"/>
        </w:rPr>
        <w:t xml:space="preserve">Khoa Luật, Đại học Quốc gia Hà Nội, Hoàng Thị Kim Quế (chủ biên), </w:t>
      </w:r>
      <w:r w:rsidRPr="00062BB8">
        <w:rPr>
          <w:i/>
          <w:sz w:val="24"/>
          <w:szCs w:val="24"/>
        </w:rPr>
        <w:t>Giáo trình Lý luận nhà nước và pháp luật</w:t>
      </w:r>
      <w:r w:rsidRPr="00787BF1">
        <w:rPr>
          <w:sz w:val="24"/>
          <w:szCs w:val="24"/>
        </w:rPr>
        <w:t>, Nxb. Đại học Quốc gia Hà Nội, Hà Nội 2015.</w:t>
      </w:r>
    </w:p>
    <w:p w:rsidR="00D017B0" w:rsidRPr="00787BF1" w:rsidRDefault="00D017B0" w:rsidP="00D017B0">
      <w:pPr>
        <w:numPr>
          <w:ilvl w:val="0"/>
          <w:numId w:val="1"/>
        </w:numPr>
        <w:tabs>
          <w:tab w:val="clear" w:pos="720"/>
          <w:tab w:val="left" w:pos="567"/>
        </w:tabs>
        <w:spacing w:before="120"/>
        <w:ind w:left="0" w:firstLine="284"/>
        <w:jc w:val="both"/>
        <w:textAlignment w:val="baseline"/>
        <w:rPr>
          <w:sz w:val="24"/>
          <w:szCs w:val="24"/>
        </w:rPr>
      </w:pPr>
      <w:r>
        <w:rPr>
          <w:sz w:val="24"/>
          <w:szCs w:val="24"/>
        </w:rPr>
        <w:t>Trường Đại học Luật Hà Nội, Lê Minh Tâm, Nguyễn Minh Đoan (đồng chủ biên)</w:t>
      </w:r>
      <w:r w:rsidRPr="00787BF1">
        <w:rPr>
          <w:sz w:val="24"/>
          <w:szCs w:val="24"/>
        </w:rPr>
        <w:t xml:space="preserve">, </w:t>
      </w:r>
      <w:r w:rsidRPr="00787BF1">
        <w:rPr>
          <w:i/>
          <w:sz w:val="24"/>
          <w:szCs w:val="24"/>
        </w:rPr>
        <w:t>Giáo trình Lý luận nhà nước và pháp luật</w:t>
      </w:r>
      <w:r w:rsidRPr="00787BF1">
        <w:rPr>
          <w:sz w:val="24"/>
          <w:szCs w:val="24"/>
        </w:rPr>
        <w:t xml:space="preserve">, </w:t>
      </w:r>
      <w:r>
        <w:rPr>
          <w:sz w:val="24"/>
          <w:szCs w:val="24"/>
        </w:rPr>
        <w:t>Nxb. Công an nhân dân</w:t>
      </w:r>
      <w:r w:rsidRPr="00787BF1">
        <w:rPr>
          <w:sz w:val="24"/>
          <w:szCs w:val="24"/>
        </w:rPr>
        <w:t>, Hà Nội, 2014.</w:t>
      </w:r>
    </w:p>
    <w:p w:rsidR="00D017B0" w:rsidRPr="00787BF1" w:rsidRDefault="00D017B0" w:rsidP="00D017B0">
      <w:pPr>
        <w:numPr>
          <w:ilvl w:val="0"/>
          <w:numId w:val="1"/>
        </w:numPr>
        <w:tabs>
          <w:tab w:val="clear" w:pos="720"/>
          <w:tab w:val="left" w:pos="567"/>
        </w:tabs>
        <w:spacing w:before="120"/>
        <w:ind w:left="0" w:firstLine="284"/>
        <w:jc w:val="both"/>
        <w:textAlignment w:val="baseline"/>
        <w:rPr>
          <w:sz w:val="24"/>
          <w:szCs w:val="24"/>
        </w:rPr>
      </w:pPr>
      <w:r w:rsidRPr="00787BF1">
        <w:rPr>
          <w:i/>
          <w:iCs/>
          <w:sz w:val="24"/>
          <w:szCs w:val="24"/>
        </w:rPr>
        <w:t>Từ điển bách khoa Việt Nam,</w:t>
      </w:r>
      <w:r w:rsidRPr="00787BF1">
        <w:rPr>
          <w:sz w:val="24"/>
          <w:szCs w:val="24"/>
        </w:rPr>
        <w:t xml:space="preserve"> Tập 1, Nxb. Từ điển bách khoa, Hà Nội, 2003.</w:t>
      </w:r>
    </w:p>
    <w:p w:rsidR="001324E1" w:rsidRDefault="001324E1"/>
    <w:sectPr w:rsidR="001324E1" w:rsidSect="005630BE">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F507D"/>
    <w:multiLevelType w:val="multilevel"/>
    <w:tmpl w:val="F5EC2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7B0"/>
    <w:rsid w:val="001324E1"/>
    <w:rsid w:val="005630BE"/>
    <w:rsid w:val="00666C5C"/>
    <w:rsid w:val="00A849F3"/>
    <w:rsid w:val="00D01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DF60CD-2ADF-456E-985D-B9CA4CDB5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b/>
        <w:sz w:val="28"/>
        <w:szCs w:val="28"/>
        <w:lang w:val="en-US" w:eastAsia="en-US" w:bidi="ar-SA"/>
      </w:rPr>
    </w:rPrDefault>
    <w:pPrDefault>
      <w:pPr>
        <w:spacing w:before="60" w:after="60" w:line="40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7B0"/>
    <w:pPr>
      <w:spacing w:before="0" w:after="0" w:line="240" w:lineRule="auto"/>
      <w:jc w:val="left"/>
    </w:pPr>
    <w:rPr>
      <w:rFonts w:eastAsia="Calibri"/>
      <w:b w:val="0"/>
      <w:szCs w:val="22"/>
    </w:rPr>
  </w:style>
  <w:style w:type="paragraph" w:styleId="Heading2">
    <w:name w:val="heading 2"/>
    <w:basedOn w:val="Normal"/>
    <w:next w:val="Normal"/>
    <w:link w:val="Heading2Char"/>
    <w:autoRedefine/>
    <w:unhideWhenUsed/>
    <w:qFormat/>
    <w:rsid w:val="00D017B0"/>
    <w:pPr>
      <w:adjustRightInd w:val="0"/>
      <w:snapToGrid w:val="0"/>
      <w:spacing w:before="240"/>
      <w:ind w:firstLine="284"/>
      <w:jc w:val="both"/>
      <w:outlineLvl w:val="1"/>
    </w:pPr>
    <w:rPr>
      <w:iCs/>
      <w:szCs w:val="28"/>
    </w:rPr>
  </w:style>
  <w:style w:type="paragraph" w:styleId="Heading4">
    <w:name w:val="heading 4"/>
    <w:basedOn w:val="Normal"/>
    <w:next w:val="Normal"/>
    <w:link w:val="Heading4Char"/>
    <w:uiPriority w:val="9"/>
    <w:semiHidden/>
    <w:unhideWhenUsed/>
    <w:qFormat/>
    <w:rsid w:val="00A849F3"/>
    <w:pPr>
      <w:keepNext/>
      <w:keepLines/>
      <w:spacing w:before="120" w:after="120" w:line="400" w:lineRule="exact"/>
      <w:ind w:firstLine="567"/>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A849F3"/>
    <w:rPr>
      <w:rFonts w:eastAsiaTheme="majorEastAsia" w:cstheme="majorBidi"/>
      <w:i/>
      <w:iCs/>
    </w:rPr>
  </w:style>
  <w:style w:type="character" w:customStyle="1" w:styleId="Heading2Char">
    <w:name w:val="Heading 2 Char"/>
    <w:basedOn w:val="DefaultParagraphFont"/>
    <w:link w:val="Heading2"/>
    <w:rsid w:val="00D017B0"/>
    <w:rPr>
      <w:rFonts w:eastAsia="Calibri"/>
      <w:b w:val="0"/>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1371</Words>
  <Characters>7821</Characters>
  <Application>Microsoft Office Word</Application>
  <DocSecurity>0</DocSecurity>
  <Lines>65</Lines>
  <Paragraphs>18</Paragraphs>
  <ScaleCrop>false</ScaleCrop>
  <Company/>
  <LinksUpToDate>false</LinksUpToDate>
  <CharactersWithSpaces>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LoanTran</dc:creator>
  <cp:keywords/>
  <dc:description/>
  <cp:lastModifiedBy>LoanTran</cp:lastModifiedBy>
  <cp:revision>1</cp:revision>
  <dcterms:created xsi:type="dcterms:W3CDTF">2025-12-14T21:25:00Z</dcterms:created>
  <dcterms:modified xsi:type="dcterms:W3CDTF">2025-12-14T21:25:00Z</dcterms:modified>
</cp:coreProperties>
</file>